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F263" w14:textId="12363EB3" w:rsidR="004063A6" w:rsidRPr="006865E4" w:rsidRDefault="004063A6" w:rsidP="004063A6">
      <w:pPr>
        <w:rPr>
          <w:b/>
          <w:bCs/>
          <w:lang w:val="fr-CA"/>
        </w:rPr>
      </w:pPr>
      <w:r w:rsidRPr="006865E4">
        <w:rPr>
          <w:b/>
          <w:bCs/>
          <w:lang w:val="fr-CA"/>
        </w:rPr>
        <w:t>Le Consortium Access offre des réunions</w:t>
      </w:r>
      <w:r w:rsidR="006C291F">
        <w:rPr>
          <w:b/>
          <w:bCs/>
          <w:lang w:val="fr-CA"/>
        </w:rPr>
        <w:t xml:space="preserve"> </w:t>
      </w:r>
      <w:r w:rsidR="007F11D0">
        <w:rPr>
          <w:b/>
          <w:bCs/>
          <w:lang w:val="fr-CA"/>
        </w:rPr>
        <w:t>d</w:t>
      </w:r>
      <w:r w:rsidR="0082112B">
        <w:rPr>
          <w:b/>
          <w:bCs/>
          <w:lang w:val="fr-CA"/>
        </w:rPr>
        <w:t>e</w:t>
      </w:r>
      <w:r w:rsidR="0063430B">
        <w:rPr>
          <w:b/>
          <w:bCs/>
          <w:lang w:val="fr-CA"/>
        </w:rPr>
        <w:t xml:space="preserve"> pipeline</w:t>
      </w:r>
      <w:r w:rsidRPr="006865E4">
        <w:rPr>
          <w:b/>
          <w:bCs/>
          <w:lang w:val="fr-CA"/>
        </w:rPr>
        <w:t xml:space="preserve"> avec les entreprises pharmaceutiques et de biotechnologie</w:t>
      </w:r>
    </w:p>
    <w:p w14:paraId="460090F6" w14:textId="5978F677" w:rsidR="004063A6" w:rsidRPr="004063A6" w:rsidRDefault="004063A6" w:rsidP="004063A6">
      <w:pPr>
        <w:rPr>
          <w:lang w:val="fr-CA"/>
        </w:rPr>
      </w:pPr>
      <w:r w:rsidRPr="004063A6">
        <w:rPr>
          <w:lang w:val="fr-CA"/>
        </w:rPr>
        <w:t>Le Consortium Access offre de tenir des réunions c</w:t>
      </w:r>
      <w:r w:rsidR="004848B6">
        <w:rPr>
          <w:lang w:val="fr-CA"/>
        </w:rPr>
        <w:t>onjointes</w:t>
      </w:r>
      <w:r w:rsidRPr="004063A6">
        <w:rPr>
          <w:lang w:val="fr-CA"/>
        </w:rPr>
        <w:t xml:space="preserve"> sur le</w:t>
      </w:r>
      <w:r w:rsidR="001C0FBF">
        <w:rPr>
          <w:lang w:val="fr-CA"/>
        </w:rPr>
        <w:t>s produits</w:t>
      </w:r>
      <w:r w:rsidRPr="004063A6">
        <w:rPr>
          <w:lang w:val="fr-CA"/>
        </w:rPr>
        <w:t xml:space="preserve"> en </w:t>
      </w:r>
      <w:r w:rsidR="001C0FBF">
        <w:rPr>
          <w:lang w:val="fr-CA"/>
        </w:rPr>
        <w:t>dé</w:t>
      </w:r>
      <w:r w:rsidR="003069C2">
        <w:rPr>
          <w:lang w:val="fr-CA"/>
        </w:rPr>
        <w:t xml:space="preserve">veloppement </w:t>
      </w:r>
      <w:r w:rsidRPr="004063A6">
        <w:rPr>
          <w:lang w:val="fr-CA"/>
        </w:rPr>
        <w:t>a</w:t>
      </w:r>
      <w:r w:rsidR="003069C2">
        <w:rPr>
          <w:lang w:val="fr-CA"/>
        </w:rPr>
        <w:t>ux</w:t>
      </w:r>
      <w:r w:rsidRPr="004063A6">
        <w:rPr>
          <w:lang w:val="fr-CA"/>
        </w:rPr>
        <w:t xml:space="preserve"> entreprises pharmaceutiques et de biotechnologie.</w:t>
      </w:r>
    </w:p>
    <w:p w14:paraId="30179685" w14:textId="3CC52E6C" w:rsidR="004063A6" w:rsidRPr="004063A6" w:rsidRDefault="004063A6" w:rsidP="004063A6">
      <w:pPr>
        <w:rPr>
          <w:lang w:val="fr-CA"/>
        </w:rPr>
      </w:pPr>
      <w:r w:rsidRPr="004063A6">
        <w:rPr>
          <w:lang w:val="fr-CA"/>
        </w:rPr>
        <w:t>Les réunions</w:t>
      </w:r>
      <w:r w:rsidR="003069C2">
        <w:rPr>
          <w:lang w:val="fr-CA"/>
        </w:rPr>
        <w:t xml:space="preserve"> </w:t>
      </w:r>
      <w:r w:rsidR="00A72968">
        <w:rPr>
          <w:lang w:val="fr-CA"/>
        </w:rPr>
        <w:t>d</w:t>
      </w:r>
      <w:r w:rsidRPr="004063A6">
        <w:rPr>
          <w:lang w:val="fr-CA"/>
        </w:rPr>
        <w:t>e</w:t>
      </w:r>
      <w:r w:rsidR="00752196">
        <w:rPr>
          <w:lang w:val="fr-CA"/>
        </w:rPr>
        <w:t xml:space="preserve"> pipeline</w:t>
      </w:r>
      <w:r w:rsidRPr="004063A6">
        <w:rPr>
          <w:lang w:val="fr-CA"/>
        </w:rPr>
        <w:t xml:space="preserve"> </w:t>
      </w:r>
      <w:r w:rsidR="003950D8">
        <w:rPr>
          <w:lang w:val="fr-CA"/>
        </w:rPr>
        <w:t>entre nos autorités r</w:t>
      </w:r>
      <w:r w:rsidRPr="004063A6">
        <w:rPr>
          <w:lang w:val="fr-CA"/>
        </w:rPr>
        <w:t>églementa</w:t>
      </w:r>
      <w:r w:rsidR="003950D8">
        <w:rPr>
          <w:lang w:val="fr-CA"/>
        </w:rPr>
        <w:t>ires</w:t>
      </w:r>
      <w:r w:rsidRPr="004063A6">
        <w:rPr>
          <w:lang w:val="fr-CA"/>
        </w:rPr>
        <w:t xml:space="preserve"> et </w:t>
      </w:r>
      <w:r w:rsidR="003950D8">
        <w:rPr>
          <w:lang w:val="fr-CA"/>
        </w:rPr>
        <w:t>l</w:t>
      </w:r>
      <w:r w:rsidRPr="004063A6">
        <w:rPr>
          <w:lang w:val="fr-CA"/>
        </w:rPr>
        <w:t xml:space="preserve">es entreprises pharmaceutiques et de biotechnologie sont </w:t>
      </w:r>
      <w:r w:rsidR="00226429">
        <w:rPr>
          <w:lang w:val="fr-CA"/>
        </w:rPr>
        <w:t>l’</w:t>
      </w:r>
      <w:r w:rsidRPr="004063A6">
        <w:rPr>
          <w:lang w:val="fr-CA"/>
        </w:rPr>
        <w:t>occasion d'échanger de</w:t>
      </w:r>
      <w:r w:rsidR="00226429">
        <w:rPr>
          <w:lang w:val="fr-CA"/>
        </w:rPr>
        <w:t>s i</w:t>
      </w:r>
      <w:r w:rsidRPr="004063A6">
        <w:rPr>
          <w:lang w:val="fr-CA"/>
        </w:rPr>
        <w:t>nformation</w:t>
      </w:r>
      <w:r w:rsidR="00CF23B3">
        <w:rPr>
          <w:lang w:val="fr-CA"/>
        </w:rPr>
        <w:t>s</w:t>
      </w:r>
      <w:r w:rsidRPr="004063A6">
        <w:rPr>
          <w:lang w:val="fr-CA"/>
        </w:rPr>
        <w:t xml:space="preserve"> </w:t>
      </w:r>
      <w:r w:rsidR="00CF23B3">
        <w:rPr>
          <w:lang w:val="fr-CA"/>
        </w:rPr>
        <w:t>sur</w:t>
      </w:r>
      <w:r w:rsidRPr="004063A6">
        <w:rPr>
          <w:lang w:val="fr-CA"/>
        </w:rPr>
        <w:t xml:space="preserve"> les nouveaux </w:t>
      </w:r>
      <w:r w:rsidR="00CF23B3">
        <w:rPr>
          <w:lang w:val="fr-CA"/>
        </w:rPr>
        <w:t>développements</w:t>
      </w:r>
      <w:r w:rsidRPr="004063A6">
        <w:rPr>
          <w:lang w:val="fr-CA"/>
        </w:rPr>
        <w:t xml:space="preserve"> et de collaborer</w:t>
      </w:r>
      <w:r w:rsidR="003D6328">
        <w:rPr>
          <w:lang w:val="fr-CA"/>
        </w:rPr>
        <w:t xml:space="preserve"> </w:t>
      </w:r>
      <w:r w:rsidR="00CF23B3">
        <w:rPr>
          <w:lang w:val="fr-CA"/>
        </w:rPr>
        <w:t>à</w:t>
      </w:r>
      <w:r w:rsidRPr="004063A6">
        <w:rPr>
          <w:lang w:val="fr-CA"/>
        </w:rPr>
        <w:t xml:space="preserve"> </w:t>
      </w:r>
      <w:r w:rsidR="003D6328">
        <w:rPr>
          <w:lang w:val="fr-CA"/>
        </w:rPr>
        <w:t xml:space="preserve">de </w:t>
      </w:r>
      <w:r w:rsidRPr="004063A6">
        <w:rPr>
          <w:lang w:val="fr-CA"/>
        </w:rPr>
        <w:t>nouvelles possibilités.</w:t>
      </w:r>
    </w:p>
    <w:p w14:paraId="67507C55" w14:textId="75973631" w:rsidR="004063A6" w:rsidRPr="004063A6" w:rsidRDefault="003D6328" w:rsidP="004063A6">
      <w:pPr>
        <w:rPr>
          <w:lang w:val="fr-CA"/>
        </w:rPr>
      </w:pPr>
      <w:r>
        <w:rPr>
          <w:lang w:val="fr-CA"/>
        </w:rPr>
        <w:t>C</w:t>
      </w:r>
      <w:r w:rsidR="004063A6" w:rsidRPr="004063A6">
        <w:rPr>
          <w:lang w:val="fr-CA"/>
        </w:rPr>
        <w:t xml:space="preserve">es réunions aideront aussi les </w:t>
      </w:r>
      <w:r w:rsidR="006C727E">
        <w:rPr>
          <w:lang w:val="fr-CA"/>
        </w:rPr>
        <w:t>régulateurs</w:t>
      </w:r>
      <w:r w:rsidR="004063A6" w:rsidRPr="004063A6">
        <w:rPr>
          <w:lang w:val="fr-CA"/>
        </w:rPr>
        <w:t xml:space="preserve"> du Consortium à planifier </w:t>
      </w:r>
      <w:r w:rsidR="005A7EE7">
        <w:rPr>
          <w:lang w:val="fr-CA"/>
        </w:rPr>
        <w:t xml:space="preserve">et à préparer les </w:t>
      </w:r>
      <w:r w:rsidR="004063A6" w:rsidRPr="004063A6">
        <w:rPr>
          <w:lang w:val="fr-CA"/>
        </w:rPr>
        <w:t>futures demandes de partage du travail.</w:t>
      </w:r>
    </w:p>
    <w:p w14:paraId="1D85FF74" w14:textId="77777777" w:rsidR="000E7F17" w:rsidRDefault="000E7F17" w:rsidP="004063A6">
      <w:pPr>
        <w:rPr>
          <w:lang w:val="fr-CA"/>
        </w:rPr>
      </w:pPr>
      <w:r w:rsidRPr="000E7F17">
        <w:rPr>
          <w:lang w:val="fr-CA"/>
        </w:rPr>
        <w:t xml:space="preserve">Les informations discutées lors de ces réunions resteront confidentielles. </w:t>
      </w:r>
    </w:p>
    <w:p w14:paraId="25FD62D6" w14:textId="31441FD5" w:rsidR="004063A6" w:rsidRPr="004063A6" w:rsidRDefault="004063A6" w:rsidP="004063A6">
      <w:pPr>
        <w:rPr>
          <w:lang w:val="fr-CA"/>
        </w:rPr>
      </w:pPr>
      <w:r w:rsidRPr="004063A6">
        <w:rPr>
          <w:lang w:val="fr-CA"/>
        </w:rPr>
        <w:t xml:space="preserve">Les intervenants doivent </w:t>
      </w:r>
      <w:r w:rsidR="003B6920">
        <w:rPr>
          <w:lang w:val="fr-CA"/>
        </w:rPr>
        <w:t>soumettre</w:t>
      </w:r>
      <w:r w:rsidRPr="004063A6">
        <w:rPr>
          <w:lang w:val="fr-CA"/>
        </w:rPr>
        <w:t xml:space="preserve"> une demande de réunion </w:t>
      </w:r>
      <w:r w:rsidR="00AC369B">
        <w:rPr>
          <w:lang w:val="fr-CA"/>
        </w:rPr>
        <w:t>d</w:t>
      </w:r>
      <w:r w:rsidRPr="004063A6">
        <w:rPr>
          <w:lang w:val="fr-CA"/>
        </w:rPr>
        <w:t>e</w:t>
      </w:r>
      <w:r w:rsidR="00CE37EB">
        <w:rPr>
          <w:lang w:val="fr-CA"/>
        </w:rPr>
        <w:t xml:space="preserve"> </w:t>
      </w:r>
      <w:r w:rsidR="00060C34">
        <w:rPr>
          <w:lang w:val="fr-CA"/>
        </w:rPr>
        <w:t>pipeline</w:t>
      </w:r>
      <w:r w:rsidRPr="004063A6">
        <w:rPr>
          <w:lang w:val="fr-CA"/>
        </w:rPr>
        <w:t>.</w:t>
      </w:r>
    </w:p>
    <w:p w14:paraId="2785E39B" w14:textId="16BFBC26" w:rsidR="004063A6" w:rsidRPr="004063A6" w:rsidRDefault="004063A6" w:rsidP="004063A6">
      <w:pPr>
        <w:rPr>
          <w:lang w:val="fr-CA"/>
        </w:rPr>
      </w:pPr>
      <w:r w:rsidRPr="004063A6">
        <w:rPr>
          <w:lang w:val="fr-CA"/>
        </w:rPr>
        <w:t xml:space="preserve">Les sujets </w:t>
      </w:r>
      <w:r w:rsidR="000A3862">
        <w:rPr>
          <w:lang w:val="fr-CA"/>
        </w:rPr>
        <w:t>abordés</w:t>
      </w:r>
      <w:r w:rsidRPr="004063A6">
        <w:rPr>
          <w:lang w:val="fr-CA"/>
        </w:rPr>
        <w:t xml:space="preserve"> lors de ces réunions peuvent inclure les suivants :</w:t>
      </w:r>
    </w:p>
    <w:p w14:paraId="0DB13B71" w14:textId="035048DD" w:rsidR="004063A6" w:rsidRPr="00762B02" w:rsidRDefault="00C147E9" w:rsidP="00762B02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Les </w:t>
      </w:r>
      <w:r w:rsidRPr="006C727E">
        <w:rPr>
          <w:lang w:val="fr-CA"/>
        </w:rPr>
        <w:t>c</w:t>
      </w:r>
      <w:r w:rsidR="004063A6" w:rsidRPr="006C727E">
        <w:rPr>
          <w:lang w:val="fr-CA"/>
        </w:rPr>
        <w:t>andidats po</w:t>
      </w:r>
      <w:r w:rsidR="00036BC4" w:rsidRPr="006C727E">
        <w:rPr>
          <w:lang w:val="fr-CA"/>
        </w:rPr>
        <w:t>tentiels</w:t>
      </w:r>
      <w:r w:rsidR="004063A6" w:rsidRPr="006C727E">
        <w:rPr>
          <w:lang w:val="fr-CA"/>
        </w:rPr>
        <w:t xml:space="preserve"> pour les </w:t>
      </w:r>
      <w:r w:rsidR="001239BA" w:rsidRPr="006C727E">
        <w:rPr>
          <w:lang w:val="fr-CA"/>
        </w:rPr>
        <w:t>demandes du</w:t>
      </w:r>
      <w:r w:rsidR="004063A6" w:rsidRPr="006C727E">
        <w:rPr>
          <w:lang w:val="fr-CA"/>
        </w:rPr>
        <w:t xml:space="preserve"> Consortium Access</w:t>
      </w:r>
      <w:r w:rsidR="004063A6" w:rsidRPr="00762B02">
        <w:rPr>
          <w:lang w:val="fr-CA"/>
        </w:rPr>
        <w:t>, tel</w:t>
      </w:r>
      <w:r w:rsidR="00036BC4">
        <w:rPr>
          <w:lang w:val="fr-CA"/>
        </w:rPr>
        <w:t>s</w:t>
      </w:r>
      <w:r w:rsidR="004063A6" w:rsidRPr="00762B02">
        <w:rPr>
          <w:lang w:val="fr-CA"/>
        </w:rPr>
        <w:t xml:space="preserve"> que :</w:t>
      </w:r>
    </w:p>
    <w:p w14:paraId="634206CF" w14:textId="77777777" w:rsidR="004063A6" w:rsidRPr="00762B02" w:rsidRDefault="004063A6" w:rsidP="00762B02">
      <w:pPr>
        <w:pStyle w:val="ListParagraph"/>
        <w:numPr>
          <w:ilvl w:val="1"/>
          <w:numId w:val="1"/>
        </w:numPr>
        <w:rPr>
          <w:lang w:val="fr-CA"/>
        </w:rPr>
      </w:pPr>
      <w:r w:rsidRPr="00762B02">
        <w:rPr>
          <w:lang w:val="fr-CA"/>
        </w:rPr>
        <w:t>les produits biosimilaires</w:t>
      </w:r>
    </w:p>
    <w:p w14:paraId="44BD8639" w14:textId="3990E1B0" w:rsidR="006D1715" w:rsidRDefault="00C147E9" w:rsidP="00762B02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 xml:space="preserve">les </w:t>
      </w:r>
      <w:r w:rsidR="006D1715" w:rsidRPr="006D1715">
        <w:rPr>
          <w:lang w:val="fr-CA"/>
        </w:rPr>
        <w:t xml:space="preserve">thérapies cellulaires et géniques et </w:t>
      </w:r>
      <w:r w:rsidR="00953D59">
        <w:rPr>
          <w:lang w:val="fr-CA"/>
        </w:rPr>
        <w:t xml:space="preserve">les </w:t>
      </w:r>
      <w:r w:rsidR="006D1715" w:rsidRPr="006D1715">
        <w:rPr>
          <w:lang w:val="fr-CA"/>
        </w:rPr>
        <w:t>produits issus de l'ingénierie tissulaire (voir l'avis important ci-dessous)</w:t>
      </w:r>
    </w:p>
    <w:p w14:paraId="28638893" w14:textId="77777777" w:rsidR="00450C04" w:rsidRDefault="00450C04" w:rsidP="00762B02">
      <w:pPr>
        <w:pStyle w:val="ListParagraph"/>
        <w:numPr>
          <w:ilvl w:val="1"/>
          <w:numId w:val="1"/>
        </w:numPr>
        <w:rPr>
          <w:lang w:val="fr-CA"/>
        </w:rPr>
      </w:pPr>
      <w:r w:rsidRPr="00450C04">
        <w:rPr>
          <w:lang w:val="fr-CA"/>
        </w:rPr>
        <w:t xml:space="preserve">les développements génériques pour les technologies complexes </w:t>
      </w:r>
    </w:p>
    <w:p w14:paraId="52CD3E64" w14:textId="09DFCB0C" w:rsidR="004063A6" w:rsidRPr="00762B02" w:rsidRDefault="004063A6" w:rsidP="00762B02">
      <w:pPr>
        <w:pStyle w:val="ListParagraph"/>
        <w:numPr>
          <w:ilvl w:val="1"/>
          <w:numId w:val="1"/>
        </w:numPr>
        <w:rPr>
          <w:lang w:val="fr-CA"/>
        </w:rPr>
      </w:pPr>
      <w:r w:rsidRPr="00762B02">
        <w:rPr>
          <w:lang w:val="fr-CA"/>
        </w:rPr>
        <w:t>l</w:t>
      </w:r>
      <w:r w:rsidR="00FC7A45" w:rsidRPr="00FC7A45">
        <w:rPr>
          <w:lang w:val="fr-CA"/>
        </w:rPr>
        <w:t>es nouvelles substances actives candidates à l'examen standard ou à l'examen prioritaire</w:t>
      </w:r>
      <w:r w:rsidRPr="00762B02">
        <w:rPr>
          <w:lang w:val="fr-CA"/>
        </w:rPr>
        <w:t xml:space="preserve"> </w:t>
      </w:r>
    </w:p>
    <w:p w14:paraId="26DF60E4" w14:textId="3C1F8D00" w:rsidR="004063A6" w:rsidRPr="00762B02" w:rsidRDefault="004954D5" w:rsidP="00762B02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Les</w:t>
      </w:r>
      <w:r w:rsidR="0096737F" w:rsidRPr="0096737F">
        <w:rPr>
          <w:lang w:val="fr-CA"/>
        </w:rPr>
        <w:t xml:space="preserve"> exigences relatives aux futures demandes impliquant des tendances à venir, de nouvelles technologies et des complexités accrues </w:t>
      </w:r>
    </w:p>
    <w:p w14:paraId="6294C725" w14:textId="01480157" w:rsidR="004063A6" w:rsidRPr="00762B02" w:rsidRDefault="004063A6" w:rsidP="00E53F96">
      <w:pPr>
        <w:pStyle w:val="ListParagraph"/>
        <w:numPr>
          <w:ilvl w:val="1"/>
          <w:numId w:val="1"/>
        </w:numPr>
        <w:rPr>
          <w:lang w:val="fr-CA"/>
        </w:rPr>
      </w:pPr>
      <w:r w:rsidRPr="00762B02">
        <w:rPr>
          <w:lang w:val="fr-CA"/>
        </w:rPr>
        <w:t xml:space="preserve"> </w:t>
      </w:r>
      <w:r w:rsidR="00773865" w:rsidRPr="00773865">
        <w:rPr>
          <w:lang w:val="fr-CA"/>
        </w:rPr>
        <w:t>À titre d'exemple, des données probantes du monde réel et des essais cliniques complexes</w:t>
      </w:r>
    </w:p>
    <w:p w14:paraId="00A8B8C0" w14:textId="77777777" w:rsidR="004063A6" w:rsidRPr="00762B02" w:rsidRDefault="004063A6" w:rsidP="00762B02">
      <w:pPr>
        <w:pStyle w:val="ListParagraph"/>
        <w:numPr>
          <w:ilvl w:val="0"/>
          <w:numId w:val="1"/>
        </w:numPr>
        <w:rPr>
          <w:lang w:val="fr-CA"/>
        </w:rPr>
      </w:pPr>
      <w:r w:rsidRPr="00762B02">
        <w:rPr>
          <w:lang w:val="fr-CA"/>
        </w:rPr>
        <w:t>Indications communes</w:t>
      </w:r>
    </w:p>
    <w:p w14:paraId="63C45D36" w14:textId="77777777" w:rsidR="004063A6" w:rsidRPr="00E53F96" w:rsidRDefault="004063A6" w:rsidP="00BA1A6C">
      <w:pPr>
        <w:pStyle w:val="ListParagraph"/>
        <w:numPr>
          <w:ilvl w:val="0"/>
          <w:numId w:val="3"/>
        </w:numPr>
        <w:ind w:left="1560"/>
        <w:rPr>
          <w:lang w:val="fr-CA"/>
        </w:rPr>
      </w:pPr>
      <w:r w:rsidRPr="00E53F96">
        <w:rPr>
          <w:lang w:val="fr-CA"/>
        </w:rPr>
        <w:t>À titre d'exemple, des maladies tropicales</w:t>
      </w:r>
    </w:p>
    <w:p w14:paraId="7F38DB0C" w14:textId="77777777" w:rsidR="004063A6" w:rsidRPr="00E53F96" w:rsidRDefault="004063A6" w:rsidP="00E53F96">
      <w:pPr>
        <w:pStyle w:val="ListParagraph"/>
        <w:numPr>
          <w:ilvl w:val="0"/>
          <w:numId w:val="2"/>
        </w:numPr>
        <w:rPr>
          <w:lang w:val="fr-CA"/>
        </w:rPr>
      </w:pPr>
      <w:r w:rsidRPr="00E53F96">
        <w:rPr>
          <w:lang w:val="fr-CA"/>
        </w:rPr>
        <w:t>Détermination précoce des défis ou des obstacles techniques possibles concernant les présentations harmonisées</w:t>
      </w:r>
    </w:p>
    <w:p w14:paraId="43385F62" w14:textId="6A708989" w:rsidR="004063A6" w:rsidRPr="00E53F96" w:rsidRDefault="004063A6" w:rsidP="00E53F96">
      <w:pPr>
        <w:pStyle w:val="ListParagraph"/>
        <w:numPr>
          <w:ilvl w:val="0"/>
          <w:numId w:val="2"/>
        </w:numPr>
        <w:rPr>
          <w:lang w:val="fr-CA"/>
        </w:rPr>
      </w:pPr>
      <w:r w:rsidRPr="00E53F96">
        <w:rPr>
          <w:lang w:val="fr-CA"/>
        </w:rPr>
        <w:t xml:space="preserve">Stratégie de </w:t>
      </w:r>
      <w:r w:rsidR="00976897">
        <w:rPr>
          <w:lang w:val="fr-CA"/>
        </w:rPr>
        <w:t>soumission</w:t>
      </w:r>
      <w:r w:rsidRPr="00E53F96">
        <w:rPr>
          <w:lang w:val="fr-CA"/>
        </w:rPr>
        <w:t xml:space="preserve"> pour les nouvelles méthodes thérapeutiques</w:t>
      </w:r>
    </w:p>
    <w:p w14:paraId="64B00E89" w14:textId="366F7426" w:rsidR="004063A6" w:rsidRPr="004063A6" w:rsidRDefault="004063A6" w:rsidP="004063A6">
      <w:pPr>
        <w:rPr>
          <w:lang w:val="fr-CA"/>
        </w:rPr>
      </w:pPr>
      <w:r w:rsidRPr="004063A6">
        <w:rPr>
          <w:lang w:val="fr-CA"/>
        </w:rPr>
        <w:t xml:space="preserve">À titre de </w:t>
      </w:r>
      <w:r w:rsidR="00960283">
        <w:rPr>
          <w:lang w:val="fr-CA"/>
        </w:rPr>
        <w:t>chef</w:t>
      </w:r>
      <w:r w:rsidRPr="004063A6">
        <w:rPr>
          <w:lang w:val="fr-CA"/>
        </w:rPr>
        <w:t xml:space="preserve">s des organismes du Consortium Access, nous sommes résolus à travailler avec nos </w:t>
      </w:r>
      <w:r w:rsidR="00962B92">
        <w:rPr>
          <w:lang w:val="fr-CA"/>
        </w:rPr>
        <w:t>candidats</w:t>
      </w:r>
      <w:r w:rsidRPr="004063A6">
        <w:rPr>
          <w:lang w:val="fr-CA"/>
        </w:rPr>
        <w:t xml:space="preserve"> pour faciliter d'autant plus l'accès des patients à des médicaments </w:t>
      </w:r>
      <w:r w:rsidR="006B1804" w:rsidRPr="006B1804">
        <w:rPr>
          <w:lang w:val="fr-CA"/>
        </w:rPr>
        <w:t>sûrs, efficaces et de haute qualité.</w:t>
      </w:r>
    </w:p>
    <w:p w14:paraId="4FDB545C" w14:textId="77777777" w:rsidR="009D7A94" w:rsidRPr="009D7A94" w:rsidRDefault="009D7A94" w:rsidP="009D7A94">
      <w:pPr>
        <w:rPr>
          <w:b/>
          <w:bCs/>
          <w:lang w:val="fr-CA"/>
        </w:rPr>
      </w:pPr>
      <w:r w:rsidRPr="009D7A94">
        <w:rPr>
          <w:b/>
          <w:bCs/>
          <w:lang w:val="fr-CA"/>
        </w:rPr>
        <w:t>Avis important pour les développeurs de thérapies cellulaires et géniques et de produits issus de l'ingénierie tissulaire</w:t>
      </w:r>
    </w:p>
    <w:p w14:paraId="2C4020BE" w14:textId="554AFD89" w:rsidR="009D7A94" w:rsidRPr="004063A6" w:rsidRDefault="009D7A94" w:rsidP="009D7A94">
      <w:pPr>
        <w:rPr>
          <w:lang w:val="fr-CA"/>
        </w:rPr>
      </w:pPr>
      <w:r w:rsidRPr="004063A6">
        <w:rPr>
          <w:lang w:val="fr-CA"/>
        </w:rPr>
        <w:t>Les réunions</w:t>
      </w:r>
      <w:r w:rsidR="00D67597" w:rsidRPr="00463305">
        <w:rPr>
          <w:lang w:val="fr-CA"/>
        </w:rPr>
        <w:t xml:space="preserve"> </w:t>
      </w:r>
      <w:r w:rsidR="00A72968">
        <w:rPr>
          <w:lang w:val="fr-CA"/>
        </w:rPr>
        <w:t>d</w:t>
      </w:r>
      <w:r w:rsidR="00AC369B">
        <w:rPr>
          <w:lang w:val="fr-CA"/>
        </w:rPr>
        <w:t>e</w:t>
      </w:r>
      <w:r w:rsidR="00060C34">
        <w:rPr>
          <w:lang w:val="fr-CA"/>
        </w:rPr>
        <w:t xml:space="preserve"> pipeline</w:t>
      </w:r>
      <w:r w:rsidRPr="004063A6">
        <w:rPr>
          <w:lang w:val="fr-CA"/>
        </w:rPr>
        <w:t xml:space="preserve"> servent de point d'entrée principal pour l'engagement avec les régulateurs d</w:t>
      </w:r>
      <w:r w:rsidR="00E44E32">
        <w:rPr>
          <w:lang w:val="fr-CA"/>
        </w:rPr>
        <w:t xml:space="preserve">u Consortium </w:t>
      </w:r>
      <w:r w:rsidR="00463305">
        <w:rPr>
          <w:lang w:val="fr-CA"/>
        </w:rPr>
        <w:t>A</w:t>
      </w:r>
      <w:r w:rsidRPr="004063A6">
        <w:rPr>
          <w:lang w:val="fr-CA"/>
        </w:rPr>
        <w:t xml:space="preserve">ccès pour les thérapies cellulaires et géniques et les produits issus de l'ingénierie tissulaire. Le groupe de travail sur les produits médicinaux de thérapie avancée du </w:t>
      </w:r>
      <w:r w:rsidR="00E44E32">
        <w:rPr>
          <w:lang w:val="fr-CA"/>
        </w:rPr>
        <w:t>C</w:t>
      </w:r>
      <w:r w:rsidRPr="004063A6">
        <w:rPr>
          <w:lang w:val="fr-CA"/>
        </w:rPr>
        <w:t>onsortium Access encourage vivement les partenaires industriels à entamer ces discussions dès le début de leur processus de développement afin de bénéficier d'une orientation réglementaire coordonnée entre les différentes juridictions d</w:t>
      </w:r>
      <w:r w:rsidR="00E44E32">
        <w:rPr>
          <w:lang w:val="fr-CA"/>
        </w:rPr>
        <w:t xml:space="preserve">u Consortium </w:t>
      </w:r>
      <w:r w:rsidR="00F87CA7">
        <w:rPr>
          <w:lang w:val="fr-CA"/>
        </w:rPr>
        <w:t>A</w:t>
      </w:r>
      <w:r w:rsidRPr="004063A6">
        <w:rPr>
          <w:lang w:val="fr-CA"/>
        </w:rPr>
        <w:t>ccès.</w:t>
      </w:r>
    </w:p>
    <w:p w14:paraId="6A405388" w14:textId="77777777" w:rsidR="004063A6" w:rsidRPr="009D7A94" w:rsidRDefault="004063A6" w:rsidP="004063A6">
      <w:pPr>
        <w:rPr>
          <w:b/>
          <w:bCs/>
          <w:lang w:val="fr-CA"/>
        </w:rPr>
      </w:pPr>
      <w:r w:rsidRPr="009D7A94">
        <w:rPr>
          <w:b/>
          <w:bCs/>
          <w:lang w:val="fr-CA"/>
        </w:rPr>
        <w:lastRenderedPageBreak/>
        <w:t>Nous joindre</w:t>
      </w:r>
    </w:p>
    <w:p w14:paraId="40D1877C" w14:textId="739BC632" w:rsidR="004063A6" w:rsidRPr="004063A6" w:rsidRDefault="004063A6" w:rsidP="004063A6">
      <w:pPr>
        <w:rPr>
          <w:lang w:val="fr-CA"/>
        </w:rPr>
      </w:pPr>
      <w:r w:rsidRPr="004063A6">
        <w:rPr>
          <w:lang w:val="fr-CA"/>
        </w:rPr>
        <w:t xml:space="preserve">Si une réunion </w:t>
      </w:r>
      <w:r w:rsidR="00F774FC">
        <w:rPr>
          <w:lang w:val="fr-CA"/>
        </w:rPr>
        <w:t>d</w:t>
      </w:r>
      <w:r w:rsidRPr="004063A6">
        <w:rPr>
          <w:lang w:val="fr-CA"/>
        </w:rPr>
        <w:t>e</w:t>
      </w:r>
      <w:r w:rsidR="00635FB6">
        <w:rPr>
          <w:lang w:val="fr-CA"/>
        </w:rPr>
        <w:t xml:space="preserve"> pipeline</w:t>
      </w:r>
      <w:r w:rsidRPr="004063A6">
        <w:rPr>
          <w:lang w:val="fr-CA"/>
        </w:rPr>
        <w:t xml:space="preserve"> vous intéresse, veuillez nous envoyer un courriel à l'une des adresses ci-dessous. Veuillez également inclure une liste des sujets proposés, vos questions </w:t>
      </w:r>
      <w:r w:rsidR="00B637CE" w:rsidRPr="00B637CE">
        <w:rPr>
          <w:lang w:val="fr-CA"/>
        </w:rPr>
        <w:t>et les délais associés à la demande que vous envisagez.</w:t>
      </w:r>
      <w:r w:rsidR="009A7CFE">
        <w:rPr>
          <w:lang w:val="fr-CA"/>
        </w:rPr>
        <w:t xml:space="preserve"> </w:t>
      </w:r>
      <w:r w:rsidR="000C3844" w:rsidRPr="000C3844">
        <w:rPr>
          <w:lang w:val="fr-CA"/>
        </w:rPr>
        <w:t>Cela nous permettra de nous assurer que le personnel adéquat des différentes agences sera présent lors de votre réunion.</w:t>
      </w:r>
    </w:p>
    <w:p w14:paraId="6E77C6FF" w14:textId="3350DC1D" w:rsidR="004063A6" w:rsidRDefault="004063A6" w:rsidP="00E3413E">
      <w:pPr>
        <w:spacing w:after="0"/>
        <w:rPr>
          <w:lang w:val="fr-CA"/>
        </w:rPr>
      </w:pPr>
      <w:r w:rsidRPr="004063A6">
        <w:rPr>
          <w:lang w:val="fr-CA"/>
        </w:rPr>
        <w:t xml:space="preserve">Australie : </w:t>
      </w:r>
      <w:hyperlink r:id="rId7" w:history="1">
        <w:r w:rsidR="00F27513" w:rsidRPr="00262354">
          <w:rPr>
            <w:rStyle w:val="Hyperlink"/>
            <w:lang w:val="fr-CA"/>
          </w:rPr>
          <w:t>streamlinedsubmission@health.gov.au</w:t>
        </w:r>
      </w:hyperlink>
    </w:p>
    <w:p w14:paraId="041A139C" w14:textId="3922199C" w:rsidR="004063A6" w:rsidRDefault="004063A6" w:rsidP="00E3413E">
      <w:pPr>
        <w:spacing w:after="0"/>
        <w:rPr>
          <w:lang w:val="fr-CA"/>
        </w:rPr>
      </w:pPr>
      <w:r w:rsidRPr="004063A6">
        <w:rPr>
          <w:lang w:val="fr-CA"/>
        </w:rPr>
        <w:t xml:space="preserve">Canada : </w:t>
      </w:r>
      <w:hyperlink r:id="rId8" w:history="1">
        <w:r w:rsidR="00F27513" w:rsidRPr="00262354">
          <w:rPr>
            <w:rStyle w:val="Hyperlink"/>
            <w:lang w:val="fr-CA"/>
          </w:rPr>
          <w:t>collaboration@hc-sc.gc.ca</w:t>
        </w:r>
      </w:hyperlink>
    </w:p>
    <w:p w14:paraId="776EFB98" w14:textId="774F8E57" w:rsidR="004063A6" w:rsidRDefault="004063A6" w:rsidP="00E3413E">
      <w:pPr>
        <w:spacing w:after="0"/>
        <w:rPr>
          <w:lang w:val="fr-CA"/>
        </w:rPr>
      </w:pPr>
      <w:r w:rsidRPr="004063A6">
        <w:rPr>
          <w:lang w:val="fr-CA"/>
        </w:rPr>
        <w:t xml:space="preserve">Singapour : </w:t>
      </w:r>
      <w:hyperlink r:id="rId9" w:history="1">
        <w:r w:rsidR="00F27513" w:rsidRPr="00262354">
          <w:rPr>
            <w:rStyle w:val="Hyperlink"/>
            <w:lang w:val="fr-CA"/>
          </w:rPr>
          <w:t>hsa_intl_office@hsa.gov.sg</w:t>
        </w:r>
      </w:hyperlink>
    </w:p>
    <w:p w14:paraId="77B6F1B3" w14:textId="4F6BC815" w:rsidR="004063A6" w:rsidRDefault="004063A6" w:rsidP="00E3413E">
      <w:pPr>
        <w:spacing w:after="0"/>
        <w:rPr>
          <w:lang w:val="fr-CA"/>
        </w:rPr>
      </w:pPr>
      <w:r w:rsidRPr="004063A6">
        <w:rPr>
          <w:lang w:val="fr-CA"/>
        </w:rPr>
        <w:t xml:space="preserve">Suisse : </w:t>
      </w:r>
      <w:hyperlink r:id="rId10" w:history="1">
        <w:r w:rsidR="00F27513" w:rsidRPr="00262354">
          <w:rPr>
            <w:rStyle w:val="Hyperlink"/>
            <w:lang w:val="fr-CA"/>
          </w:rPr>
          <w:t>networking@swissmedic.ch</w:t>
        </w:r>
      </w:hyperlink>
    </w:p>
    <w:p w14:paraId="3C8650A3" w14:textId="37156F9D" w:rsidR="004063A6" w:rsidRDefault="004063A6" w:rsidP="00E3413E">
      <w:pPr>
        <w:spacing w:after="0"/>
        <w:rPr>
          <w:lang w:val="fr-CA"/>
        </w:rPr>
      </w:pPr>
      <w:r w:rsidRPr="004063A6">
        <w:rPr>
          <w:lang w:val="fr-CA"/>
        </w:rPr>
        <w:t xml:space="preserve">Royaume-Uni : </w:t>
      </w:r>
      <w:hyperlink r:id="rId11" w:history="1">
        <w:r w:rsidR="00F27513" w:rsidRPr="00262354">
          <w:rPr>
            <w:rStyle w:val="Hyperlink"/>
            <w:lang w:val="fr-CA"/>
          </w:rPr>
          <w:t>access-mhra@mhra.gov.uk</w:t>
        </w:r>
      </w:hyperlink>
    </w:p>
    <w:p w14:paraId="4A4ED736" w14:textId="77777777" w:rsidR="00F27513" w:rsidRPr="004063A6" w:rsidRDefault="00F27513" w:rsidP="00E3413E">
      <w:pPr>
        <w:spacing w:after="0"/>
        <w:rPr>
          <w:lang w:val="fr-CA"/>
        </w:rPr>
      </w:pPr>
    </w:p>
    <w:p w14:paraId="79346210" w14:textId="77777777" w:rsidR="004063A6" w:rsidRPr="004063A6" w:rsidRDefault="004063A6" w:rsidP="004063A6">
      <w:pPr>
        <w:rPr>
          <w:lang w:val="fr-CA"/>
        </w:rPr>
      </w:pPr>
    </w:p>
    <w:sectPr w:rsidR="004063A6" w:rsidRPr="004063A6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0435" w14:textId="77777777" w:rsidR="008A168C" w:rsidRDefault="008A168C" w:rsidP="004063A6">
      <w:pPr>
        <w:spacing w:after="0" w:line="240" w:lineRule="auto"/>
      </w:pPr>
      <w:r>
        <w:separator/>
      </w:r>
    </w:p>
  </w:endnote>
  <w:endnote w:type="continuationSeparator" w:id="0">
    <w:p w14:paraId="6F572D42" w14:textId="77777777" w:rsidR="008A168C" w:rsidRDefault="008A168C" w:rsidP="0040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9732" w14:textId="77777777" w:rsidR="008A168C" w:rsidRDefault="008A168C" w:rsidP="004063A6">
      <w:pPr>
        <w:spacing w:after="0" w:line="240" w:lineRule="auto"/>
      </w:pPr>
      <w:r>
        <w:separator/>
      </w:r>
    </w:p>
  </w:footnote>
  <w:footnote w:type="continuationSeparator" w:id="0">
    <w:p w14:paraId="02845270" w14:textId="77777777" w:rsidR="008A168C" w:rsidRDefault="008A168C" w:rsidP="0040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C3AF" w14:textId="27FCA506" w:rsidR="004063A6" w:rsidRDefault="004063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538C88" wp14:editId="0E7C6C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99285" cy="391160"/>
              <wp:effectExtent l="0" t="0" r="0" b="8890"/>
              <wp:wrapNone/>
              <wp:docPr id="507031167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E061A" w14:textId="520CE1E5" w:rsidR="004063A6" w:rsidRPr="004063A6" w:rsidRDefault="004063A6" w:rsidP="00406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06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8C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09.55pt;margin-top:0;width:149.55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" filled="f" stroked="f">
              <v:textbox style="mso-fit-shape-to-text:t" inset="0,15pt,20pt,0">
                <w:txbxContent>
                  <w:p w14:paraId="410E061A" w14:textId="520CE1E5" w:rsidR="004063A6" w:rsidRPr="004063A6" w:rsidRDefault="004063A6" w:rsidP="00406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063A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4879" w14:textId="4E9A2610" w:rsidR="004063A6" w:rsidRDefault="004063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B32110" wp14:editId="56394D14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899285" cy="391160"/>
              <wp:effectExtent l="0" t="0" r="0" b="8890"/>
              <wp:wrapNone/>
              <wp:docPr id="96660447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11C61" w14:textId="4C1A89AF" w:rsidR="004063A6" w:rsidRPr="004063A6" w:rsidRDefault="004063A6" w:rsidP="00406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06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321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109.55pt;margin-top:0;width:149.55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" filled="f" stroked="f">
              <v:textbox style="mso-fit-shape-to-text:t" inset="0,15pt,20pt,0">
                <w:txbxContent>
                  <w:p w14:paraId="59311C61" w14:textId="4C1A89AF" w:rsidR="004063A6" w:rsidRPr="004063A6" w:rsidRDefault="004063A6" w:rsidP="00406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063A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1157" w14:textId="1E297611" w:rsidR="004063A6" w:rsidRDefault="004063A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A32D63" wp14:editId="27F6FC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99285" cy="391160"/>
              <wp:effectExtent l="0" t="0" r="0" b="8890"/>
              <wp:wrapNone/>
              <wp:docPr id="918003791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61271" w14:textId="4DBE6087" w:rsidR="004063A6" w:rsidRPr="004063A6" w:rsidRDefault="004063A6" w:rsidP="004063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063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32D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109.55pt;margin-top:0;width:149.5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" filled="f" stroked="f">
              <v:textbox style="mso-fit-shape-to-text:t" inset="0,15pt,20pt,0">
                <w:txbxContent>
                  <w:p w14:paraId="54C61271" w14:textId="4DBE6087" w:rsidR="004063A6" w:rsidRPr="004063A6" w:rsidRDefault="004063A6" w:rsidP="004063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063A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65C6"/>
    <w:multiLevelType w:val="hybridMultilevel"/>
    <w:tmpl w:val="8AA69A9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3C5379"/>
    <w:multiLevelType w:val="hybridMultilevel"/>
    <w:tmpl w:val="2E0E5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E0639"/>
    <w:multiLevelType w:val="hybridMultilevel"/>
    <w:tmpl w:val="CD12C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32745">
    <w:abstractNumId w:val="2"/>
  </w:num>
  <w:num w:numId="2" w16cid:durableId="250428711">
    <w:abstractNumId w:val="1"/>
  </w:num>
  <w:num w:numId="3" w16cid:durableId="7461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A6"/>
    <w:rsid w:val="00025768"/>
    <w:rsid w:val="00036BC4"/>
    <w:rsid w:val="00042AC4"/>
    <w:rsid w:val="00060C34"/>
    <w:rsid w:val="00086E2B"/>
    <w:rsid w:val="000A0C67"/>
    <w:rsid w:val="000A0D45"/>
    <w:rsid w:val="000A3862"/>
    <w:rsid w:val="000C1714"/>
    <w:rsid w:val="000C3844"/>
    <w:rsid w:val="000E7F17"/>
    <w:rsid w:val="001239BA"/>
    <w:rsid w:val="00147499"/>
    <w:rsid w:val="001A4011"/>
    <w:rsid w:val="001C0FBF"/>
    <w:rsid w:val="001F0FCF"/>
    <w:rsid w:val="00215D3C"/>
    <w:rsid w:val="0022110F"/>
    <w:rsid w:val="00226429"/>
    <w:rsid w:val="003069C2"/>
    <w:rsid w:val="0037632B"/>
    <w:rsid w:val="003950D8"/>
    <w:rsid w:val="003B6920"/>
    <w:rsid w:val="003C7356"/>
    <w:rsid w:val="003D6328"/>
    <w:rsid w:val="004063A6"/>
    <w:rsid w:val="004447AE"/>
    <w:rsid w:val="00450C04"/>
    <w:rsid w:val="00463305"/>
    <w:rsid w:val="004848B6"/>
    <w:rsid w:val="004954D5"/>
    <w:rsid w:val="004F472D"/>
    <w:rsid w:val="005A7EE7"/>
    <w:rsid w:val="005D3B79"/>
    <w:rsid w:val="005F5441"/>
    <w:rsid w:val="00624BDD"/>
    <w:rsid w:val="0063430B"/>
    <w:rsid w:val="00635FB6"/>
    <w:rsid w:val="006735FD"/>
    <w:rsid w:val="006865E4"/>
    <w:rsid w:val="006B1804"/>
    <w:rsid w:val="006C291F"/>
    <w:rsid w:val="006C727E"/>
    <w:rsid w:val="006D1715"/>
    <w:rsid w:val="00724824"/>
    <w:rsid w:val="00752196"/>
    <w:rsid w:val="00762B02"/>
    <w:rsid w:val="007647C1"/>
    <w:rsid w:val="00773865"/>
    <w:rsid w:val="007F11D0"/>
    <w:rsid w:val="0082112B"/>
    <w:rsid w:val="008A168C"/>
    <w:rsid w:val="008E1432"/>
    <w:rsid w:val="00953D59"/>
    <w:rsid w:val="00960283"/>
    <w:rsid w:val="00962B92"/>
    <w:rsid w:val="0096737F"/>
    <w:rsid w:val="00976897"/>
    <w:rsid w:val="009A7CFE"/>
    <w:rsid w:val="009B533B"/>
    <w:rsid w:val="009C192E"/>
    <w:rsid w:val="009D7A94"/>
    <w:rsid w:val="00A72968"/>
    <w:rsid w:val="00AC369B"/>
    <w:rsid w:val="00AD55F5"/>
    <w:rsid w:val="00B637CE"/>
    <w:rsid w:val="00B97395"/>
    <w:rsid w:val="00BA1A6C"/>
    <w:rsid w:val="00BB432F"/>
    <w:rsid w:val="00C147E9"/>
    <w:rsid w:val="00C50AA8"/>
    <w:rsid w:val="00C53DC2"/>
    <w:rsid w:val="00CE37EB"/>
    <w:rsid w:val="00CF23B3"/>
    <w:rsid w:val="00D67597"/>
    <w:rsid w:val="00DC7D95"/>
    <w:rsid w:val="00DE15EE"/>
    <w:rsid w:val="00E3413E"/>
    <w:rsid w:val="00E44126"/>
    <w:rsid w:val="00E44E32"/>
    <w:rsid w:val="00E53F96"/>
    <w:rsid w:val="00EB35D4"/>
    <w:rsid w:val="00EE3AB5"/>
    <w:rsid w:val="00EF5208"/>
    <w:rsid w:val="00F27513"/>
    <w:rsid w:val="00F774FC"/>
    <w:rsid w:val="00F87CA7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5DD6"/>
  <w15:chartTrackingRefBased/>
  <w15:docId w15:val="{EB7887FB-4F13-40EE-8C65-5EA28008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3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A6"/>
  </w:style>
  <w:style w:type="character" w:styleId="Hyperlink">
    <w:name w:val="Hyperlink"/>
    <w:basedOn w:val="DefaultParagraphFont"/>
    <w:uiPriority w:val="99"/>
    <w:unhideWhenUsed/>
    <w:rsid w:val="00F275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aboration@hc-sc.gc.c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treamlinedsubmission@health.gov.a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ess-mhra@mhra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etworking@swissmedic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sa_intl_office@hsa.gov.s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504</Words>
  <Characters>2873</Characters>
  <Application>Microsoft Office Word</Application>
  <DocSecurity>0</DocSecurity>
  <Lines>23</Lines>
  <Paragraphs>6</Paragraphs>
  <ScaleCrop>false</ScaleCrop>
  <Company>HC-PHAC - SC-ASPC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Arcand, Tanya (HC/SC)</dc:creator>
  <cp:keywords/>
  <dc:description/>
  <cp:lastModifiedBy>Arcand, Tanya (HC/SC)</cp:lastModifiedBy>
  <cp:revision>78</cp:revision>
  <dcterms:created xsi:type="dcterms:W3CDTF">2025-07-29T15:07:00Z</dcterms:created>
  <dcterms:modified xsi:type="dcterms:W3CDTF">2025-07-30T14:48:00Z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36b7a04f,1e38ae7f,5c2ebdf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05d8ed60-cd71-485b-a85b-277aaf32f506_Enabled">
    <vt:lpwstr>true</vt:lpwstr>
  </property>
  <property fmtid="{D5CDD505-2E9C-101B-9397-08002B2CF9AE}" pid="6" name="MSIP_Label_05d8ed60-cd71-485b-a85b-277aaf32f506_SetDate">
    <vt:lpwstr>2025-07-29T15:12:26Z</vt:lpwstr>
  </property>
  <property fmtid="{D5CDD505-2E9C-101B-9397-08002B2CF9AE}" pid="7" name="MSIP_Label_05d8ed60-cd71-485b-a85b-277aaf32f506_Method">
    <vt:lpwstr>Standard</vt:lpwstr>
  </property>
  <property fmtid="{D5CDD505-2E9C-101B-9397-08002B2CF9AE}" pid="8" name="MSIP_Label_05d8ed60-cd71-485b-a85b-277aaf32f506_Name">
    <vt:lpwstr>Unclassified</vt:lpwstr>
  </property>
  <property fmtid="{D5CDD505-2E9C-101B-9397-08002B2CF9AE}" pid="9" name="MSIP_Label_05d8ed60-cd71-485b-a85b-277aaf32f506_SiteId">
    <vt:lpwstr>42fd9015-de4d-4223-a368-baeacab48927</vt:lpwstr>
  </property>
  <property fmtid="{D5CDD505-2E9C-101B-9397-08002B2CF9AE}" pid="10" name="MSIP_Label_05d8ed60-cd71-485b-a85b-277aaf32f506_ActionId">
    <vt:lpwstr>3053b779-7795-4fd2-821f-5ea72ca06b64</vt:lpwstr>
  </property>
  <property fmtid="{D5CDD505-2E9C-101B-9397-08002B2CF9AE}" pid="11" name="MSIP_Label_05d8ed60-cd71-485b-a85b-277aaf32f506_ContentBits">
    <vt:lpwstr>1</vt:lpwstr>
  </property>
  <property fmtid="{D5CDD505-2E9C-101B-9397-08002B2CF9AE}" pid="12" name="MSIP_Label_05d8ed60-cd71-485b-a85b-277aaf32f506_Tag">
    <vt:lpwstr>10, 3, 0, 1</vt:lpwstr>
  </property>
</Properties>
</file>